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CDB95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45"/>
          <w:szCs w:val="45"/>
          <w:bdr w:val="none" w:color="auto" w:sz="0" w:space="0"/>
          <w14:textFill>
            <w14:solidFill>
              <w14:schemeClr w14:val="tx1"/>
            </w14:solidFill>
          </w14:textFill>
        </w:rPr>
        <w:t>快速了解发酵罐是否染菌及解决方法</w:t>
      </w:r>
      <w:bookmarkEnd w:id="0"/>
    </w:p>
    <w:p w14:paraId="0E6BF1F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发酵过程中的染菌</w:t>
      </w:r>
    </w:p>
    <w:p w14:paraId="0F6ADD1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染菌的途径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1.种子培养阶段出现问题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2.培养基的配制及灭菌问题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3.空气过滤器出现问题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4.培养过程中的操作问题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66690" cy="3950335"/>
            <wp:effectExtent l="0" t="0" r="10160" b="1206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发酵罐染菌的判断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状态参数的异常变化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1.染菌后pH值的异常变化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2.PO2值的异常变化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3.泡沫的异常变化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4.OD值的异常变化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发酵罐染菌途径的大致判断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1.芽胞杆菌----灭菌不*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2.大肠杆菌----操作过程中带来的污染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3.球菌,短杆菌----空气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4.噬菌体----环境原因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66690" cy="3950335"/>
            <wp:effectExtent l="0" t="0" r="10160" b="1206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发酵罐染菌常规处理办法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1.对罐体进行*清洗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2.更换进气过滤器及排气过滤器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3.检查灭菌过程中的状态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4.进行24小时无菌培养,排除罐体灭菌原因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5.环境消毒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6.严格操作规程</w:t>
      </w:r>
    </w:p>
    <w:p w14:paraId="34ED3B4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66690" cy="3950335"/>
            <wp:effectExtent l="0" t="0" r="10160" b="1206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D24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</Words>
  <Characters>16</Characters>
  <Lines>0</Lines>
  <Paragraphs>0</Paragraphs>
  <TotalTime>0</TotalTime>
  <ScaleCrop>false</ScaleCrop>
  <LinksUpToDate>false</LinksUpToDate>
  <CharactersWithSpaces>16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2025-08-20T09:08:06Z</dcterms:created>
  <dc:creator>Mt</dc:creator>
  <cp:lastModifiedBy>制药网阳阳</cp:lastModifiedBy>
  <dcterms:modified xsi:type="dcterms:W3CDTF">2025-08-20T09:08:34Z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7C275D4057FD489985C0FFB2D3516E01_12</vt:lpwstr>
  </property>
</Properties>
</file>